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bookmarkStart w:id="0" w:name="_GoBack"/>
      <w:bookmarkEnd w:id="0"/>
    </w:p>
    <w:p/>
    <w:p/>
    <w:tbl>
      <w:tblPr>
        <w:tblStyle w:val="5"/>
        <w:tblW w:w="8501" w:type="dxa"/>
        <w:tblInd w:w="-142" w:type="dxa"/>
        <w:tblLayout w:type="fixed"/>
        <w:tblCellMar>
          <w:top w:w="0" w:type="dxa"/>
          <w:left w:w="0" w:type="dxa"/>
          <w:bottom w:w="0" w:type="dxa"/>
          <w:right w:w="0" w:type="dxa"/>
        </w:tblCellMar>
      </w:tblPr>
      <w:tblGrid>
        <w:gridCol w:w="852"/>
        <w:gridCol w:w="366"/>
        <w:gridCol w:w="604"/>
        <w:gridCol w:w="612"/>
        <w:gridCol w:w="77"/>
        <w:gridCol w:w="831"/>
        <w:gridCol w:w="305"/>
        <w:gridCol w:w="475"/>
        <w:gridCol w:w="738"/>
        <w:gridCol w:w="422"/>
        <w:gridCol w:w="791"/>
        <w:gridCol w:w="723"/>
        <w:gridCol w:w="490"/>
        <w:gridCol w:w="1215"/>
      </w:tblGrid>
      <w:tr>
        <w:tblPrEx>
          <w:tblCellMar>
            <w:top w:w="0" w:type="dxa"/>
            <w:left w:w="0" w:type="dxa"/>
            <w:bottom w:w="0" w:type="dxa"/>
            <w:right w:w="0" w:type="dxa"/>
          </w:tblCellMar>
        </w:tblPrEx>
        <w:trPr>
          <w:trHeight w:val="535" w:hRule="atLeast"/>
        </w:trPr>
        <w:tc>
          <w:tcPr>
            <w:tcW w:w="8496" w:type="dxa"/>
            <w:gridSpan w:val="14"/>
            <w:tcBorders>
              <w:top w:val="nil"/>
              <w:left w:val="nil"/>
              <w:bottom w:val="single" w:color="auto" w:sz="4" w:space="0"/>
              <w:right w:val="nil"/>
            </w:tcBorders>
            <w:shd w:val="clear" w:color="auto" w:fill="auto"/>
            <w:noWrap/>
            <w:tcMar>
              <w:top w:w="15" w:type="dxa"/>
              <w:left w:w="15" w:type="dxa"/>
              <w:bottom w:w="0" w:type="dxa"/>
              <w:right w:w="15" w:type="dxa"/>
            </w:tcMar>
          </w:tcPr>
          <w:p>
            <w:pPr>
              <w:jc w:val="center"/>
              <w:rPr>
                <w:rFonts w:cs="Arial"/>
                <w:b/>
                <w:bCs/>
                <w:color w:val="000000"/>
                <w:sz w:val="40"/>
                <w:szCs w:val="40"/>
              </w:rPr>
            </w:pPr>
            <w:r>
              <w:rPr>
                <w:rFonts w:hint="eastAsia" w:cs="Arial"/>
                <w:b/>
                <w:bCs/>
                <w:color w:val="000000"/>
                <w:sz w:val="40"/>
                <w:szCs w:val="40"/>
              </w:rPr>
              <w:t>苏州市级财政支出项目绩效自评价报告</w:t>
            </w:r>
          </w:p>
        </w:tc>
      </w:tr>
      <w:tr>
        <w:tblPrEx>
          <w:tblCellMar>
            <w:top w:w="0" w:type="dxa"/>
            <w:left w:w="0" w:type="dxa"/>
            <w:bottom w:w="0" w:type="dxa"/>
            <w:right w:w="0" w:type="dxa"/>
          </w:tblCellMar>
        </w:tblPrEx>
        <w:trPr>
          <w:trHeight w:val="472" w:hRule="atLeast"/>
        </w:trPr>
        <w:tc>
          <w:tcPr>
            <w:tcW w:w="8496" w:type="dxa"/>
            <w:gridSpan w:val="1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b/>
                <w:bCs/>
                <w:color w:val="000000"/>
                <w:sz w:val="36"/>
                <w:szCs w:val="36"/>
              </w:rPr>
            </w:pPr>
            <w:r>
              <w:rPr>
                <w:rFonts w:hint="eastAsia" w:cs="Arial"/>
                <w:b/>
                <w:bCs/>
                <w:color w:val="000000"/>
                <w:sz w:val="36"/>
                <w:szCs w:val="36"/>
              </w:rPr>
              <w:t>苏州市级财政支出项目绩效自评表</w:t>
            </w:r>
          </w:p>
        </w:tc>
      </w:tr>
      <w:tr>
        <w:tblPrEx>
          <w:tblCellMar>
            <w:top w:w="0" w:type="dxa"/>
            <w:left w:w="0" w:type="dxa"/>
            <w:bottom w:w="0" w:type="dxa"/>
            <w:right w:w="0" w:type="dxa"/>
          </w:tblCellMar>
        </w:tblPrEx>
        <w:trPr>
          <w:trHeight w:val="394" w:hRule="atLeast"/>
        </w:trPr>
        <w:tc>
          <w:tcPr>
            <w:tcW w:w="181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项目名称</w:t>
            </w:r>
          </w:p>
        </w:tc>
        <w:tc>
          <w:tcPr>
            <w:tcW w:w="3460"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阳光信访系统升级</w:t>
            </w:r>
          </w:p>
        </w:tc>
        <w:tc>
          <w:tcPr>
            <w:tcW w:w="1514"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项目年份</w:t>
            </w:r>
          </w:p>
        </w:tc>
        <w:tc>
          <w:tcPr>
            <w:tcW w:w="1704"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2</w:t>
            </w:r>
            <w:r>
              <w:rPr>
                <w:rFonts w:ascii="宋体" w:hAnsi="宋体"/>
                <w:sz w:val="22"/>
              </w:rPr>
              <w:t>021</w:t>
            </w:r>
          </w:p>
        </w:tc>
      </w:tr>
      <w:tr>
        <w:tblPrEx>
          <w:tblCellMar>
            <w:top w:w="0" w:type="dxa"/>
            <w:left w:w="0" w:type="dxa"/>
            <w:bottom w:w="0" w:type="dxa"/>
            <w:right w:w="0" w:type="dxa"/>
          </w:tblCellMar>
        </w:tblPrEx>
        <w:trPr>
          <w:trHeight w:val="425" w:hRule="atLeast"/>
        </w:trPr>
        <w:tc>
          <w:tcPr>
            <w:tcW w:w="181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项目主管部门(单位)</w:t>
            </w:r>
          </w:p>
        </w:tc>
        <w:tc>
          <w:tcPr>
            <w:tcW w:w="6678" w:type="dxa"/>
            <w:gridSpan w:val="11"/>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苏州市信访局</w:t>
            </w:r>
          </w:p>
        </w:tc>
      </w:tr>
      <w:tr>
        <w:tblPrEx>
          <w:tblCellMar>
            <w:top w:w="0" w:type="dxa"/>
            <w:left w:w="0" w:type="dxa"/>
            <w:bottom w:w="0" w:type="dxa"/>
            <w:right w:w="0" w:type="dxa"/>
          </w:tblCellMar>
        </w:tblPrEx>
        <w:trPr>
          <w:trHeight w:val="535" w:hRule="atLeast"/>
        </w:trPr>
        <w:tc>
          <w:tcPr>
            <w:tcW w:w="850"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市级预算执行情况（万元）</w:t>
            </w:r>
          </w:p>
        </w:tc>
        <w:tc>
          <w:tcPr>
            <w:tcW w:w="968"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年初预算数</w:t>
            </w:r>
          </w:p>
        </w:tc>
        <w:tc>
          <w:tcPr>
            <w:tcW w:w="2300"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当年使用上年结余、结转及当年调整预算数</w:t>
            </w:r>
          </w:p>
        </w:tc>
        <w:tc>
          <w:tcPr>
            <w:tcW w:w="2674" w:type="dxa"/>
            <w:gridSpan w:val="4"/>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财政拨款数</w:t>
            </w:r>
          </w:p>
        </w:tc>
        <w:tc>
          <w:tcPr>
            <w:tcW w:w="1704"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指标结余数</w:t>
            </w:r>
          </w:p>
        </w:tc>
      </w:tr>
      <w:tr>
        <w:tblPrEx>
          <w:tblCellMar>
            <w:top w:w="0" w:type="dxa"/>
            <w:left w:w="0" w:type="dxa"/>
            <w:bottom w:w="0" w:type="dxa"/>
            <w:right w:w="0" w:type="dxa"/>
          </w:tblCellMar>
        </w:tblPrEx>
        <w:trPr>
          <w:trHeight w:val="441" w:hRule="atLeast"/>
        </w:trPr>
        <w:tc>
          <w:tcPr>
            <w:tcW w:w="850" w:type="dxa"/>
            <w:vMerge w:val="continue"/>
            <w:tcBorders>
              <w:top w:val="nil"/>
              <w:left w:val="single" w:color="000000" w:sz="4" w:space="0"/>
              <w:bottom w:val="single" w:color="000000" w:sz="4" w:space="0"/>
              <w:right w:val="single" w:color="000000" w:sz="4" w:space="0"/>
            </w:tcBorders>
            <w:vAlign w:val="center"/>
          </w:tcPr>
          <w:p>
            <w:pPr>
              <w:rPr>
                <w:rFonts w:cs="Arial"/>
                <w:color w:val="000000"/>
                <w:sz w:val="22"/>
              </w:rPr>
            </w:pPr>
          </w:p>
        </w:tc>
        <w:tc>
          <w:tcPr>
            <w:tcW w:w="968"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10</w:t>
            </w:r>
          </w:p>
        </w:tc>
        <w:tc>
          <w:tcPr>
            <w:tcW w:w="2300"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0</w:t>
            </w:r>
          </w:p>
        </w:tc>
        <w:tc>
          <w:tcPr>
            <w:tcW w:w="2674" w:type="dxa"/>
            <w:gridSpan w:val="4"/>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10</w:t>
            </w:r>
          </w:p>
        </w:tc>
        <w:tc>
          <w:tcPr>
            <w:tcW w:w="1704"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0</w:t>
            </w:r>
          </w:p>
        </w:tc>
      </w:tr>
      <w:tr>
        <w:tblPrEx>
          <w:tblCellMar>
            <w:top w:w="0" w:type="dxa"/>
            <w:left w:w="0" w:type="dxa"/>
            <w:bottom w:w="0" w:type="dxa"/>
            <w:right w:w="0" w:type="dxa"/>
          </w:tblCellMar>
        </w:tblPrEx>
        <w:trPr>
          <w:trHeight w:val="346" w:hRule="atLeast"/>
        </w:trPr>
        <w:tc>
          <w:tcPr>
            <w:tcW w:w="850"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市级财政资金使用情况（万元）</w:t>
            </w:r>
          </w:p>
        </w:tc>
        <w:tc>
          <w:tcPr>
            <w:tcW w:w="968" w:type="dxa"/>
            <w:gridSpan w:val="2"/>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财政拨款数</w:t>
            </w:r>
          </w:p>
        </w:tc>
        <w:tc>
          <w:tcPr>
            <w:tcW w:w="1520"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实际支付数</w:t>
            </w:r>
          </w:p>
        </w:tc>
        <w:tc>
          <w:tcPr>
            <w:tcW w:w="194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资金结余、结转数</w:t>
            </w:r>
          </w:p>
        </w:tc>
        <w:tc>
          <w:tcPr>
            <w:tcW w:w="3218" w:type="dxa"/>
            <w:gridSpan w:val="4"/>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其中：</w:t>
            </w:r>
          </w:p>
        </w:tc>
      </w:tr>
      <w:tr>
        <w:tblPrEx>
          <w:tblCellMar>
            <w:top w:w="0" w:type="dxa"/>
            <w:left w:w="0" w:type="dxa"/>
            <w:bottom w:w="0" w:type="dxa"/>
            <w:right w:w="0" w:type="dxa"/>
          </w:tblCellMar>
        </w:tblPrEx>
        <w:trPr>
          <w:trHeight w:val="378" w:hRule="atLeast"/>
        </w:trPr>
        <w:tc>
          <w:tcPr>
            <w:tcW w:w="850" w:type="dxa"/>
            <w:vMerge w:val="continue"/>
            <w:tcBorders>
              <w:top w:val="nil"/>
              <w:left w:val="single" w:color="000000" w:sz="4" w:space="0"/>
              <w:bottom w:val="single" w:color="000000" w:sz="4" w:space="0"/>
              <w:right w:val="single" w:color="000000" w:sz="4" w:space="0"/>
            </w:tcBorders>
            <w:vAlign w:val="center"/>
          </w:tcPr>
          <w:p>
            <w:pPr>
              <w:rPr>
                <w:rFonts w:cs="Arial"/>
                <w:color w:val="000000"/>
                <w:sz w:val="22"/>
              </w:rPr>
            </w:pPr>
          </w:p>
        </w:tc>
        <w:tc>
          <w:tcPr>
            <w:tcW w:w="968" w:type="dxa"/>
            <w:gridSpan w:val="2"/>
            <w:vMerge w:val="continue"/>
            <w:tcBorders>
              <w:top w:val="nil"/>
              <w:left w:val="single" w:color="000000" w:sz="4" w:space="0"/>
              <w:bottom w:val="single" w:color="000000" w:sz="4" w:space="0"/>
              <w:right w:val="single" w:color="000000" w:sz="4" w:space="0"/>
            </w:tcBorders>
            <w:vAlign w:val="center"/>
          </w:tcPr>
          <w:p>
            <w:pPr>
              <w:rPr>
                <w:rFonts w:cs="Arial"/>
                <w:color w:val="000000"/>
                <w:sz w:val="22"/>
              </w:rPr>
            </w:pPr>
          </w:p>
        </w:tc>
        <w:tc>
          <w:tcPr>
            <w:tcW w:w="1520" w:type="dxa"/>
            <w:gridSpan w:val="3"/>
            <w:vMerge w:val="continue"/>
            <w:tcBorders>
              <w:top w:val="nil"/>
              <w:left w:val="single" w:color="000000" w:sz="4" w:space="0"/>
              <w:bottom w:val="single" w:color="000000" w:sz="4" w:space="0"/>
              <w:right w:val="single" w:color="000000" w:sz="4" w:space="0"/>
            </w:tcBorders>
            <w:vAlign w:val="center"/>
          </w:tcPr>
          <w:p>
            <w:pPr>
              <w:rPr>
                <w:rFonts w:cs="Arial"/>
                <w:color w:val="000000"/>
                <w:sz w:val="22"/>
              </w:rPr>
            </w:pPr>
          </w:p>
        </w:tc>
        <w:tc>
          <w:tcPr>
            <w:tcW w:w="1940" w:type="dxa"/>
            <w:gridSpan w:val="4"/>
            <w:vMerge w:val="continue"/>
            <w:tcBorders>
              <w:top w:val="single" w:color="000000" w:sz="4" w:space="0"/>
              <w:left w:val="single" w:color="000000" w:sz="4" w:space="0"/>
              <w:bottom w:val="single" w:color="000000" w:sz="4" w:space="0"/>
              <w:right w:val="single" w:color="000000" w:sz="4" w:space="0"/>
            </w:tcBorders>
            <w:vAlign w:val="center"/>
          </w:tcPr>
          <w:p>
            <w:pPr>
              <w:rPr>
                <w:rFonts w:cs="Arial"/>
                <w:color w:val="000000"/>
                <w:sz w:val="22"/>
              </w:rPr>
            </w:pPr>
          </w:p>
        </w:tc>
        <w:tc>
          <w:tcPr>
            <w:tcW w:w="1514"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结转数</w:t>
            </w:r>
          </w:p>
        </w:tc>
        <w:tc>
          <w:tcPr>
            <w:tcW w:w="1704"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财政收回数</w:t>
            </w:r>
          </w:p>
        </w:tc>
      </w:tr>
      <w:tr>
        <w:tblPrEx>
          <w:tblCellMar>
            <w:top w:w="0" w:type="dxa"/>
            <w:left w:w="0" w:type="dxa"/>
            <w:bottom w:w="0" w:type="dxa"/>
            <w:right w:w="0" w:type="dxa"/>
          </w:tblCellMar>
        </w:tblPrEx>
        <w:trPr>
          <w:trHeight w:val="630" w:hRule="atLeast"/>
        </w:trPr>
        <w:tc>
          <w:tcPr>
            <w:tcW w:w="850" w:type="dxa"/>
            <w:vMerge w:val="continue"/>
            <w:tcBorders>
              <w:top w:val="nil"/>
              <w:left w:val="single" w:color="000000" w:sz="4" w:space="0"/>
              <w:bottom w:val="single" w:color="000000" w:sz="4" w:space="0"/>
              <w:right w:val="single" w:color="000000" w:sz="4" w:space="0"/>
            </w:tcBorders>
            <w:vAlign w:val="center"/>
          </w:tcPr>
          <w:p>
            <w:pPr>
              <w:rPr>
                <w:rFonts w:cs="Arial"/>
                <w:color w:val="000000"/>
                <w:sz w:val="22"/>
              </w:rPr>
            </w:pPr>
          </w:p>
        </w:tc>
        <w:tc>
          <w:tcPr>
            <w:tcW w:w="968"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10</w:t>
            </w:r>
          </w:p>
        </w:tc>
        <w:tc>
          <w:tcPr>
            <w:tcW w:w="1520"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10</w:t>
            </w:r>
          </w:p>
        </w:tc>
        <w:tc>
          <w:tcPr>
            <w:tcW w:w="1940" w:type="dxa"/>
            <w:gridSpan w:val="4"/>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0</w:t>
            </w:r>
          </w:p>
        </w:tc>
        <w:tc>
          <w:tcPr>
            <w:tcW w:w="1514"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0</w:t>
            </w:r>
          </w:p>
        </w:tc>
        <w:tc>
          <w:tcPr>
            <w:tcW w:w="1704"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ascii="宋体" w:hAnsi="宋体"/>
                <w:sz w:val="22"/>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8496" w:type="dxa"/>
            <w:gridSpan w:val="14"/>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项目资金构成（详细列出各子项目名称和金额）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507"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子项名称</w:t>
            </w:r>
          </w:p>
        </w:tc>
        <w:tc>
          <w:tcPr>
            <w:tcW w:w="2771"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预算数（万元）</w:t>
            </w:r>
          </w:p>
        </w:tc>
        <w:tc>
          <w:tcPr>
            <w:tcW w:w="3218" w:type="dxa"/>
            <w:gridSpan w:val="4"/>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实际数（万元）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07"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合计</w:t>
            </w:r>
          </w:p>
        </w:tc>
        <w:tc>
          <w:tcPr>
            <w:tcW w:w="277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w:t>
            </w:r>
          </w:p>
        </w:tc>
        <w:tc>
          <w:tcPr>
            <w:tcW w:w="3218" w:type="dxa"/>
            <w:gridSpan w:val="4"/>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07"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阳光信访信息系统升级项目</w:t>
            </w:r>
          </w:p>
        </w:tc>
        <w:tc>
          <w:tcPr>
            <w:tcW w:w="277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w:t>
            </w:r>
          </w:p>
        </w:tc>
        <w:tc>
          <w:tcPr>
            <w:tcW w:w="3218" w:type="dxa"/>
            <w:gridSpan w:val="4"/>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215"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项目</w:t>
            </w:r>
          </w:p>
        </w:tc>
        <w:tc>
          <w:tcPr>
            <w:tcW w:w="1215"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类别</w:t>
            </w:r>
          </w:p>
        </w:tc>
        <w:tc>
          <w:tcPr>
            <w:tcW w:w="1213"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指标名称</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目标值</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权重</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实际完成值</w:t>
            </w:r>
          </w:p>
        </w:tc>
        <w:tc>
          <w:tcPr>
            <w:tcW w:w="1214" w:type="dxa"/>
            <w:tcBorders>
              <w:top w:val="single" w:color="auto" w:sz="4" w:space="0"/>
              <w:left w:val="single" w:color="auto" w:sz="4" w:space="0"/>
              <w:bottom w:val="single" w:color="auto" w:sz="4" w:space="0"/>
              <w:right w:val="single" w:color="auto" w:sz="4" w:space="0"/>
            </w:tcBorders>
            <w:shd w:val="clear" w:color="auto" w:fill="BFBFBF"/>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自评分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5"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项目绩效实现情况（80分）</w:t>
            </w:r>
          </w:p>
        </w:tc>
        <w:tc>
          <w:tcPr>
            <w:tcW w:w="1215"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投入目标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工程管理规范性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规范</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规范</w:t>
            </w:r>
          </w:p>
        </w:tc>
        <w:tc>
          <w:tcPr>
            <w:tcW w:w="121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专款专用率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3</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配套设施到位率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资金节约率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15%及其以下</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w:t>
            </w:r>
          </w:p>
        </w:tc>
        <w:tc>
          <w:tcPr>
            <w:tcW w:w="121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预算执行率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业务运维体系健全性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健全</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健全</w:t>
            </w:r>
          </w:p>
        </w:tc>
        <w:tc>
          <w:tcPr>
            <w:tcW w:w="121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资金使用合规性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合规</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3</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合规</w:t>
            </w:r>
          </w:p>
        </w:tc>
        <w:tc>
          <w:tcPr>
            <w:tcW w:w="121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政府采购规范性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规范</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规范</w:t>
            </w:r>
          </w:p>
        </w:tc>
        <w:tc>
          <w:tcPr>
            <w:tcW w:w="121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财务制度健全性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健全</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健全</w:t>
            </w:r>
          </w:p>
        </w:tc>
        <w:tc>
          <w:tcPr>
            <w:tcW w:w="121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可行性研究充分性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充分</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充分</w:t>
            </w:r>
          </w:p>
        </w:tc>
        <w:tc>
          <w:tcPr>
            <w:tcW w:w="121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5"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产出目标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系统升级计划完成率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8.68</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项目验收合格率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8.66</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系统升级计划完成及时性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及时</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8.66</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及时</w:t>
            </w:r>
          </w:p>
        </w:tc>
        <w:tc>
          <w:tcPr>
            <w:tcW w:w="121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5"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结果目标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智能录入利用率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=80%</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7.33</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82%</w:t>
            </w:r>
          </w:p>
        </w:tc>
        <w:tc>
          <w:tcPr>
            <w:tcW w:w="121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7.33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智能输入识别率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=96%</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7.33</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98%</w:t>
            </w:r>
          </w:p>
        </w:tc>
        <w:tc>
          <w:tcPr>
            <w:tcW w:w="121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7.33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业务标准化率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=95%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7.34</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7.34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5"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影响力目标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系统运维机制健全性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健全</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4</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健全</w:t>
            </w:r>
          </w:p>
        </w:tc>
        <w:tc>
          <w:tcPr>
            <w:tcW w:w="121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系统操作人员培训保障</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4</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7282" w:type="dxa"/>
            <w:gridSpan w:val="13"/>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Arial"/>
                <w:color w:val="000000"/>
                <w:kern w:val="0"/>
                <w:sz w:val="20"/>
                <w:szCs w:val="20"/>
              </w:rPr>
            </w:pPr>
            <w:r>
              <w:rPr>
                <w:rFonts w:hint="eastAsia" w:ascii="宋体" w:hAnsi="宋体" w:cs="Arial"/>
                <w:color w:val="000000"/>
                <w:kern w:val="0"/>
                <w:sz w:val="20"/>
                <w:szCs w:val="20"/>
              </w:rPr>
              <w:t>合计</w:t>
            </w:r>
          </w:p>
        </w:tc>
        <w:tc>
          <w:tcPr>
            <w:tcW w:w="121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sz w:val="22"/>
              </w:rPr>
              <w:t>79.8</w:t>
            </w:r>
          </w:p>
        </w:tc>
      </w:tr>
    </w:tbl>
    <w:p/>
    <w:tbl>
      <w:tblPr>
        <w:tblStyle w:val="5"/>
        <w:tblW w:w="8506" w:type="dxa"/>
        <w:tblInd w:w="-147" w:type="dxa"/>
        <w:tblLayout w:type="autofit"/>
        <w:tblCellMar>
          <w:top w:w="0" w:type="dxa"/>
          <w:left w:w="0" w:type="dxa"/>
          <w:bottom w:w="0" w:type="dxa"/>
          <w:right w:w="0" w:type="dxa"/>
        </w:tblCellMar>
      </w:tblPr>
      <w:tblGrid>
        <w:gridCol w:w="1547"/>
        <w:gridCol w:w="840"/>
        <w:gridCol w:w="960"/>
        <w:gridCol w:w="960"/>
        <w:gridCol w:w="960"/>
        <w:gridCol w:w="960"/>
        <w:gridCol w:w="960"/>
        <w:gridCol w:w="1319"/>
      </w:tblGrid>
      <w:tr>
        <w:tblPrEx>
          <w:tblCellMar>
            <w:top w:w="0" w:type="dxa"/>
            <w:left w:w="0" w:type="dxa"/>
            <w:bottom w:w="0" w:type="dxa"/>
            <w:right w:w="0" w:type="dxa"/>
          </w:tblCellMar>
        </w:tblPrEx>
        <w:tc>
          <w:tcPr>
            <w:tcW w:w="850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填表说明：1.“市级预算执行情况”、“市级财政资金使用情况”均含非税收入。“年初预算数”填“二下”数；“当年使用上年结余、结转及当年调整预算数”填当年使用上年结余、结转数以及追加或调减预算数；“财政拨款数”填财政部门实际拨付的款项数；“实际支付数”填资金实际支付到最终使用者的数额；“结转数”填结转以后年度使用的资金数；“财政收回数”填财政部门收回的资金数。指标结余数=年初预算数+当年使用上年结余、结转及当年调整预算数-财政拨款数；资金结余、结转数=财政拨款数-实际支付数=结转数+财政收回数。2.“指标名称”中“投入”类指标根据项目类型，按照《2021年度苏州市级财政支出项目绩效评价“投入”类共性指标》规定，逐一对照进行自评价；“产出”、“结果”、“影响力”三类指标填列预算部门（单位）报送的绩效目标申报表中经财政部门审核通过的指标，如发生绩效目标调整的，以经财政部门批准调整后的指标为准。3.各项指标权重值为根据指标数量将该类总分值分摊到各项指标的分值，即各项指标分值=该类总分值/指标个数。4.各项数据采集的时间节点均为20</w:t>
            </w:r>
            <w:r>
              <w:rPr>
                <w:rFonts w:cs="Arial"/>
                <w:color w:val="000000"/>
                <w:sz w:val="22"/>
              </w:rPr>
              <w:t>21</w:t>
            </w:r>
            <w:r>
              <w:rPr>
                <w:rFonts w:hint="eastAsia" w:cs="Arial"/>
                <w:color w:val="000000"/>
                <w:sz w:val="22"/>
              </w:rPr>
              <w:t>年12月31日。定性指标按照 好、较好、一般、较差、差 等级评分，分别得对应权重值的100%、80%、60%、40%和20%。定量指标评分规则：“产出”类每项指标的实际完成值对应预期设定的目标值，完成100%～130%得权重值满分，实际完成值每低于目标值1个百分点相应扣减权重值的5%，超过130%的每超过1%扣权重值1%；除指标解释中有特别说明的以外，“投入”类指标评分规则同“产出”类指标；“结果”类每项指标的实际完成值对应预期设定的目标值，完成100%～200%得权重值满分，超过200%的每超过1%扣权重值1%,实际完成值每低于目标值1个百分点相应扣减权重值的5%。某项指标无法提供具体数值，且无说明，得0分。</w:t>
            </w:r>
          </w:p>
        </w:tc>
      </w:tr>
      <w:tr>
        <w:tblPrEx>
          <w:tblCellMar>
            <w:top w:w="0" w:type="dxa"/>
            <w:left w:w="0" w:type="dxa"/>
            <w:bottom w:w="0" w:type="dxa"/>
            <w:right w:w="0" w:type="dxa"/>
          </w:tblCellMar>
        </w:tblPrEx>
        <w:trPr>
          <w:trHeight w:val="450" w:hRule="atLeast"/>
        </w:trPr>
        <w:tc>
          <w:tcPr>
            <w:tcW w:w="8506"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b/>
                <w:bCs/>
                <w:color w:val="000000"/>
                <w:sz w:val="36"/>
                <w:szCs w:val="36"/>
              </w:rPr>
            </w:pPr>
            <w:r>
              <w:rPr>
                <w:rFonts w:hint="eastAsia" w:cs="Arial"/>
                <w:b/>
                <w:bCs/>
                <w:color w:val="000000"/>
                <w:sz w:val="36"/>
                <w:szCs w:val="36"/>
              </w:rPr>
              <w:t>项目基本情况</w:t>
            </w:r>
          </w:p>
        </w:tc>
      </w:tr>
      <w:tr>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项目概况</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在现有苏州市“阳光信访”系统基础上，引进人工智能的智慧作用，开发建设智能接访、智能办信、智能网投、智慧数据分析、智能督查督办、精准决策研判、智能流程管理、标准化智慧验证等人工智能辅助功能。有效实现“责任信访”“法治信访”“数据信访”“智慧信访”“自助信访”。进一步畅通便民、利民、为民信访渠道，缓解工作人员的繁琐劳动和重复工作，提高苏州信访信息系统科学化水平、智慧化程度和决策研判能力。</w:t>
            </w:r>
          </w:p>
        </w:tc>
      </w:tr>
      <w:tr>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项目总目标</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根据中央和省的工作部署，按照国家信访局不断提高信访工作专业化、法治化、信息化水平的要求，按照“信息化、数据化、自流程化、智能化、融合化”五步曲的路径，聚焦解决服务群众、业务管控、预警研判三个方面问题，依托苏州市政务云、采用“互联网”技术，开发建设一个与国家、省信访信息系统完全对接，纵向连同市、县、乡在级，横向连接各级有权处理信访问题的责任部门，功能强大，便捷高效，全市统一的信访智能辅助信息平台。实现投诉通、管理通、融合通三大功能和创新方法，便民利民；阳光信访，流程管控；指挥调度，流畅高效；规范管理，精准约束；统计分析，研判决策五大功效。
</w:t>
            </w:r>
          </w:p>
        </w:tc>
      </w:tr>
      <w:tr>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年度绩效目标</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业务流程规范化，实现信访人多渠道、便捷化表达诉求；办理过程透明化，实现对群众信访的“可查询、可跟踪、可督办、可评价”；统计分析智能化，提高信访数据深度运用的水平；数据交换标准化，动态掌握上行数据量，对数据进行精细化管理。通过对阳光信访系统的升级，提高工作效能，解决业务工作信息支撑和要素约束问题，提高规范化水平。</w:t>
            </w:r>
          </w:p>
        </w:tc>
      </w:tr>
      <w:tr>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项目实施情况</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2019年，苏州市信访局鉴于当时阳光信访信息系统无法满足各项业务工作开展，在明确需求后，制定了苏州市阳光信访信息系统升级项目可行性研究报告。并于2020年6月，苏州市信访局与江苏楚怀软件开发有限公司签订合同，启动了阳光信访信息系统升级项目。系统升级模块包括：智能辅助殷勤、智能辅助办理系统，在一定程度上为信访件的登记、流转、分析等方面提供了极大便利。系统建设在3个月内完成，2020年支付楚怀公司40万元，2021年支付楚怀公司10万元。</w:t>
            </w:r>
          </w:p>
        </w:tc>
      </w:tr>
      <w:tr>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项目管理成效</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1、业务流程规范化。把《信访条例》规定的程序要求和工作职责，在系统中固化规范，实现法规流程的信息化再造。整合来信、来访、网上投诉建议等多种信访渠道， 通过微信、APP、互联网以及自助一体机等多种方式，实现信访人多渠道、便捷化表达自己的诉求、进行信访事项查询和满意度评价，缓解走访压力，以便及时就地解决信访问题。</w:t>
            </w:r>
            <w:r>
              <w:rPr>
                <w:rFonts w:hint="eastAsia" w:cs="Arial"/>
                <w:color w:val="000000"/>
                <w:sz w:val="22"/>
              </w:rPr>
              <w:br w:type="textWrapping"/>
            </w:r>
            <w:r>
              <w:rPr>
                <w:rFonts w:hint="eastAsia" w:cs="Arial"/>
                <w:color w:val="000000"/>
                <w:sz w:val="22"/>
              </w:rPr>
              <w:t xml:space="preserve">2、办理过程透明化。依托苏州市阳光信访信息系统，实现信访事项网上流转、网上办理，信访事项办理环节、回访环节进展和结果公开透明，方便群众查询评价，接受社会监督。实现信访工作效率和质量的大幅度提升，实现对群众信访的“可查询、可跟踪、可督办、可评价”，提高信访工作满意度。 </w:t>
            </w:r>
            <w:r>
              <w:rPr>
                <w:rFonts w:hint="eastAsia" w:cs="Arial"/>
                <w:color w:val="000000"/>
                <w:sz w:val="22"/>
              </w:rPr>
              <w:br w:type="textWrapping"/>
            </w:r>
            <w:r>
              <w:rPr>
                <w:rFonts w:hint="eastAsia" w:cs="Arial"/>
                <w:color w:val="000000"/>
                <w:sz w:val="22"/>
              </w:rPr>
              <w:t xml:space="preserve">3、统计分析智能化。实现信息数据的自动采集、汇总和分析，提高信访数据深度运用的水平。通过对信访数据进行深度挖掘，及时发现信访热点问题、信访风险，识别社会新情况、发现社会新问题及问题背后的成因，从源头上预防和减少信访问题，使信访工作插上信息化的“翅膀”，从而成为反应社会矛盾的晴雨表，化解社会矛盾的调解器，成为加强社会治理、维持社会稳定的有效抓手，成为市委市政府决策的智囊团。 </w:t>
            </w:r>
            <w:r>
              <w:rPr>
                <w:rFonts w:hint="eastAsia" w:cs="Arial"/>
                <w:color w:val="000000"/>
                <w:sz w:val="22"/>
              </w:rPr>
              <w:br w:type="textWrapping"/>
            </w:r>
            <w:r>
              <w:rPr>
                <w:rFonts w:hint="eastAsia" w:cs="Arial"/>
                <w:color w:val="000000"/>
                <w:sz w:val="22"/>
              </w:rPr>
              <w:t>4、数据交换标准化。实现宏观上动态掌握向国家、省信访局上行数据量，微观上进行数据跟踪、数据反查、数据对比等精细化管理。</w:t>
            </w:r>
          </w:p>
        </w:tc>
      </w:tr>
      <w:tr>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项目管理存在的问题及原因</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1.前期可行性报告做的不够充分，在系统的使用过程中，难免会出现问题；</w:t>
            </w:r>
            <w:r>
              <w:rPr>
                <w:rFonts w:hint="eastAsia" w:cs="Arial"/>
                <w:color w:val="000000"/>
                <w:sz w:val="22"/>
              </w:rPr>
              <w:br w:type="textWrapping"/>
            </w:r>
            <w:r>
              <w:rPr>
                <w:rFonts w:hint="eastAsia" w:cs="Arial"/>
                <w:color w:val="000000"/>
                <w:sz w:val="22"/>
              </w:rPr>
              <w:t>2.生僻字无法识别，送达人 写的框里填写了，识别不到；</w:t>
            </w:r>
            <w:r>
              <w:rPr>
                <w:rFonts w:hint="eastAsia" w:cs="Arial"/>
                <w:color w:val="000000"/>
                <w:sz w:val="22"/>
              </w:rPr>
              <w:br w:type="textWrapping"/>
            </w:r>
            <w:r>
              <w:rPr>
                <w:rFonts w:hint="eastAsia" w:cs="Arial"/>
                <w:color w:val="000000"/>
                <w:sz w:val="22"/>
              </w:rPr>
              <w:t>3.文档里有多个日期影响受理时间验证；</w:t>
            </w:r>
            <w:r>
              <w:rPr>
                <w:rFonts w:hint="eastAsia" w:cs="Arial"/>
                <w:color w:val="000000"/>
                <w:sz w:val="22"/>
              </w:rPr>
              <w:br w:type="textWrapping"/>
            </w:r>
            <w:r>
              <w:rPr>
                <w:rFonts w:hint="eastAsia" w:cs="Arial"/>
                <w:color w:val="000000"/>
                <w:sz w:val="22"/>
              </w:rPr>
              <w:t>4.pdf分辨率高会提示未知的错误；</w:t>
            </w:r>
            <w:r>
              <w:rPr>
                <w:rFonts w:hint="eastAsia" w:cs="Arial"/>
                <w:color w:val="000000"/>
                <w:sz w:val="22"/>
              </w:rPr>
              <w:br w:type="textWrapping"/>
            </w:r>
            <w:r>
              <w:rPr>
                <w:rFonts w:hint="eastAsia" w:cs="Arial"/>
                <w:color w:val="000000"/>
                <w:sz w:val="22"/>
              </w:rPr>
              <w:t>5.文件预览有的文件红头看不到，或者预览丢失部分内容；</w:t>
            </w:r>
            <w:r>
              <w:rPr>
                <w:rFonts w:hint="eastAsia" w:cs="Arial"/>
                <w:color w:val="000000"/>
                <w:sz w:val="22"/>
              </w:rPr>
              <w:br w:type="textWrapping"/>
            </w:r>
            <w:r>
              <w:rPr>
                <w:rFonts w:hint="eastAsia" w:cs="Arial"/>
                <w:color w:val="000000"/>
                <w:sz w:val="22"/>
              </w:rPr>
              <w:t>6.送达人签字等稍微写了大一点，或者潦草一点就验证不出来；</w:t>
            </w:r>
            <w:r>
              <w:rPr>
                <w:rFonts w:hint="eastAsia" w:cs="Arial"/>
                <w:color w:val="000000"/>
                <w:sz w:val="22"/>
              </w:rPr>
              <w:br w:type="textWrapping"/>
            </w:r>
            <w:r>
              <w:rPr>
                <w:rFonts w:hint="eastAsia" w:cs="Arial"/>
                <w:color w:val="000000"/>
                <w:sz w:val="22"/>
              </w:rPr>
              <w:t>7.送达回证格式验证不正确判断失误。</w:t>
            </w:r>
          </w:p>
        </w:tc>
      </w:tr>
      <w:tr>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进一步加强项目管理的建议</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pPr>
              <w:jc w:val="center"/>
              <w:rPr>
                <w:rFonts w:cs="Arial"/>
                <w:color w:val="000000"/>
                <w:sz w:val="22"/>
              </w:rPr>
            </w:pPr>
            <w:r>
              <w:rPr>
                <w:rFonts w:hint="eastAsia" w:cs="Arial"/>
                <w:color w:val="000000"/>
                <w:sz w:val="22"/>
              </w:rPr>
              <w:t>1.遇到系统问题时，与楚怀公司联系，及时维护；</w:t>
            </w:r>
            <w:r>
              <w:rPr>
                <w:rFonts w:hint="eastAsia" w:cs="Arial"/>
                <w:color w:val="000000"/>
                <w:sz w:val="22"/>
              </w:rPr>
              <w:br w:type="textWrapping"/>
            </w:r>
            <w:r>
              <w:rPr>
                <w:rFonts w:hint="eastAsia" w:cs="Arial"/>
                <w:color w:val="000000"/>
                <w:sz w:val="22"/>
              </w:rPr>
              <w:t>2.加强生僻字库的训练；</w:t>
            </w:r>
            <w:r>
              <w:rPr>
                <w:rFonts w:hint="eastAsia" w:cs="Arial"/>
                <w:color w:val="000000"/>
                <w:sz w:val="22"/>
              </w:rPr>
              <w:br w:type="textWrapping"/>
            </w:r>
            <w:r>
              <w:rPr>
                <w:rFonts w:hint="eastAsia" w:cs="Arial"/>
                <w:color w:val="000000"/>
                <w:sz w:val="22"/>
              </w:rPr>
              <w:t>3.加强手写字体的识别度；</w:t>
            </w:r>
            <w:r>
              <w:rPr>
                <w:rFonts w:hint="eastAsia" w:cs="Arial"/>
                <w:color w:val="000000"/>
                <w:sz w:val="22"/>
              </w:rPr>
              <w:br w:type="textWrapping"/>
            </w:r>
            <w:r>
              <w:rPr>
                <w:rFonts w:hint="eastAsia" w:cs="Arial"/>
                <w:color w:val="000000"/>
                <w:sz w:val="22"/>
              </w:rPr>
              <w:t>4.优化完善智能辅助知识树的数据内容，提高系统推荐识别的准确度。</w:t>
            </w:r>
          </w:p>
        </w:tc>
      </w:tr>
      <w:tr>
        <w:tblPrEx>
          <w:tblCellMar>
            <w:top w:w="0" w:type="dxa"/>
            <w:left w:w="0" w:type="dxa"/>
            <w:bottom w:w="0" w:type="dxa"/>
            <w:right w:w="0" w:type="dxa"/>
          </w:tblCellMar>
        </w:tblPrEx>
        <w:trPr>
          <w:trHeight w:val="285" w:hRule="atLeast"/>
        </w:trPr>
        <w:tc>
          <w:tcPr>
            <w:tcW w:w="8506" w:type="dxa"/>
            <w:gridSpan w:val="8"/>
            <w:tcBorders>
              <w:top w:val="single" w:color="auto" w:sz="4" w:space="0"/>
              <w:left w:val="nil"/>
              <w:bottom w:val="nil"/>
              <w:right w:val="nil"/>
            </w:tcBorders>
            <w:shd w:val="clear" w:color="auto" w:fill="auto"/>
            <w:noWrap/>
            <w:tcMar>
              <w:top w:w="15" w:type="dxa"/>
              <w:left w:w="15" w:type="dxa"/>
              <w:bottom w:w="0" w:type="dxa"/>
              <w:right w:w="15" w:type="dxa"/>
            </w:tcMar>
            <w:vAlign w:val="center"/>
          </w:tcPr>
          <w:p>
            <w:pPr>
              <w:rPr>
                <w:rFonts w:cs="Arial"/>
                <w:sz w:val="22"/>
              </w:rPr>
            </w:pPr>
            <w:r>
              <w:rPr>
                <w:rFonts w:hint="eastAsia" w:cs="Arial"/>
                <w:sz w:val="22"/>
              </w:rPr>
              <w:t>（标注：项目概况、项目总目标、年度绩效目标由软件自动从申报表中生成）</w:t>
            </w:r>
          </w:p>
        </w:tc>
      </w:tr>
      <w:tr>
        <w:tblPrEx>
          <w:tblCellMar>
            <w:top w:w="0" w:type="dxa"/>
            <w:left w:w="0" w:type="dxa"/>
            <w:bottom w:w="0" w:type="dxa"/>
            <w:right w:w="0" w:type="dxa"/>
          </w:tblCellMar>
        </w:tblPrEx>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vanish/>
                <w:sz w:val="20"/>
                <w:szCs w:val="20"/>
              </w:rPr>
            </w:pPr>
          </w:p>
        </w:tc>
      </w:tr>
    </w:tbl>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0000000000000000000"/>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等线 Light">
    <w:altName w:val="Arial Unicode MS"/>
    <w:panose1 w:val="00000000000000000000"/>
    <w:charset w:val="86"/>
    <w:family w:val="auto"/>
    <w:pitch w:val="default"/>
    <w:sig w:usb0="00000000" w:usb1="00000000"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DAE"/>
    <w:rsid w:val="000227CC"/>
    <w:rsid w:val="00027583"/>
    <w:rsid w:val="0005797A"/>
    <w:rsid w:val="000A753F"/>
    <w:rsid w:val="000D6913"/>
    <w:rsid w:val="00135BA0"/>
    <w:rsid w:val="00146D27"/>
    <w:rsid w:val="00154572"/>
    <w:rsid w:val="001865A9"/>
    <w:rsid w:val="001A45C6"/>
    <w:rsid w:val="00210D2C"/>
    <w:rsid w:val="0027417E"/>
    <w:rsid w:val="00277E96"/>
    <w:rsid w:val="00295EA9"/>
    <w:rsid w:val="002F132B"/>
    <w:rsid w:val="00320B72"/>
    <w:rsid w:val="003309F6"/>
    <w:rsid w:val="003311D3"/>
    <w:rsid w:val="00371193"/>
    <w:rsid w:val="003D5254"/>
    <w:rsid w:val="00421DBC"/>
    <w:rsid w:val="00422096"/>
    <w:rsid w:val="00465368"/>
    <w:rsid w:val="00507C7E"/>
    <w:rsid w:val="005365FF"/>
    <w:rsid w:val="005530C8"/>
    <w:rsid w:val="005A4855"/>
    <w:rsid w:val="005B3C15"/>
    <w:rsid w:val="00610E39"/>
    <w:rsid w:val="0063349A"/>
    <w:rsid w:val="0063730A"/>
    <w:rsid w:val="00655009"/>
    <w:rsid w:val="00687228"/>
    <w:rsid w:val="006B065A"/>
    <w:rsid w:val="006E5E74"/>
    <w:rsid w:val="007471FF"/>
    <w:rsid w:val="007615B8"/>
    <w:rsid w:val="007615EF"/>
    <w:rsid w:val="007905BA"/>
    <w:rsid w:val="007D410D"/>
    <w:rsid w:val="00857DAE"/>
    <w:rsid w:val="008B69AC"/>
    <w:rsid w:val="0099571D"/>
    <w:rsid w:val="009B2F6A"/>
    <w:rsid w:val="009D57D9"/>
    <w:rsid w:val="00A63BDD"/>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696706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link w:val="1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闻政标题4 Char"/>
    <w:link w:val="10"/>
    <w:qFormat/>
    <w:locked/>
    <w:uiPriority w:val="0"/>
    <w:rPr>
      <w:rFonts w:ascii="仿宋_GB2312" w:eastAsia="仿宋_GB2312"/>
      <w:b/>
      <w:bCs/>
      <w:sz w:val="28"/>
      <w:szCs w:val="32"/>
    </w:rPr>
  </w:style>
  <w:style w:type="paragraph" w:customStyle="1" w:styleId="10">
    <w:name w:val="闻政标题4"/>
    <w:basedOn w:val="2"/>
    <w:link w:val="9"/>
    <w:qFormat/>
    <w:uiPriority w:val="0"/>
    <w:pPr>
      <w:spacing w:before="120" w:after="60" w:line="500" w:lineRule="exact"/>
      <w:ind w:firstLine="200" w:firstLineChars="200"/>
      <w:jc w:val="left"/>
    </w:pPr>
    <w:rPr>
      <w:rFonts w:ascii="仿宋_GB2312" w:eastAsia="仿宋_GB2312" w:hAnsiTheme="minorHAnsi" w:cstheme="minorBidi"/>
      <w:sz w:val="28"/>
    </w:rPr>
  </w:style>
  <w:style w:type="character" w:customStyle="1" w:styleId="11">
    <w:name w:val="标题 2 Char"/>
    <w:basedOn w:val="6"/>
    <w:link w:val="2"/>
    <w:semiHidden/>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2909</Words>
  <Characters>3097</Characters>
  <Lines>12</Lines>
  <Paragraphs>3</Paragraphs>
  <TotalTime>109</TotalTime>
  <ScaleCrop>false</ScaleCrop>
  <LinksUpToDate>false</LinksUpToDate>
  <CharactersWithSpaces>3103</CharactersWithSpaces>
  <Application>WPS Office_11.1.0.11372_F1E327BC-269C-435d-A152-05C5408002CA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2022-01-12T10:53:00Z</dcterms:created>
  <dc:creator>成 王</dc:creator>
  <cp:lastModifiedBy>user</cp:lastModifiedBy>
  <dcterms:modified xsi:type="dcterms:W3CDTF">2022-12-05T02:15:15Z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2052-11.1.0.11372</vt:lpwstr>
  </property>
  <property fmtid="{D5CDD505-2E9C-101B-9397-08002B2CF9AE}" pid="3" name="ICV">
    <vt:lpwstr>5CE7C34351B84763A421EB43DAAB3EFB</vt:lpwstr>
  </property>
</Properties>
</file>